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F36DB">
      <w:pPr>
        <w:spacing w:line="374" w:lineRule="auto"/>
        <w:rPr>
          <w:rFonts w:ascii="Arial"/>
          <w:sz w:val="21"/>
        </w:rPr>
      </w:pPr>
      <w:bookmarkStart w:id="0" w:name="_GoBack"/>
      <w:bookmarkEnd w:id="0"/>
    </w:p>
    <w:p w14:paraId="7C04E8AB">
      <w:pPr>
        <w:spacing w:before="111" w:line="209" w:lineRule="auto"/>
        <w:ind w:left="331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选题方向</w:t>
      </w:r>
    </w:p>
    <w:p w14:paraId="029AD0FD">
      <w:pPr>
        <w:spacing w:line="309" w:lineRule="auto"/>
        <w:rPr>
          <w:rFonts w:ascii="Arial"/>
          <w:sz w:val="21"/>
        </w:rPr>
      </w:pPr>
    </w:p>
    <w:p w14:paraId="291B0B71">
      <w:pPr>
        <w:spacing w:line="309" w:lineRule="auto"/>
        <w:rPr>
          <w:rFonts w:ascii="Arial"/>
          <w:sz w:val="21"/>
        </w:rPr>
      </w:pPr>
    </w:p>
    <w:p w14:paraId="4CDE2CDD">
      <w:pPr>
        <w:spacing w:before="101" w:line="226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一、习近平新时代中国特色社会主义思想研究</w:t>
      </w:r>
    </w:p>
    <w:p w14:paraId="5BED9AAD">
      <w:pPr>
        <w:pStyle w:val="2"/>
        <w:spacing w:before="216" w:line="352" w:lineRule="auto"/>
        <w:ind w:right="85" w:firstLine="668"/>
      </w:pPr>
      <w:r>
        <w:rPr>
          <w:spacing w:val="11"/>
        </w:rPr>
        <w:t>围绕学习宣传贯彻党的二十大和二十届二中、三中全会</w:t>
      </w:r>
      <w:r>
        <w:rPr>
          <w:spacing w:val="14"/>
        </w:rPr>
        <w:t xml:space="preserve"> </w:t>
      </w:r>
      <w:r>
        <w:rPr>
          <w:spacing w:val="12"/>
        </w:rPr>
        <w:t>精神，突出加强党的创新理论研究；围绕习近平强军思想、</w:t>
      </w:r>
      <w:r>
        <w:rPr>
          <w:spacing w:val="16"/>
        </w:rPr>
        <w:t xml:space="preserve"> </w:t>
      </w:r>
      <w:r>
        <w:rPr>
          <w:spacing w:val="7"/>
        </w:rPr>
        <w:t>习近平经济思想、</w:t>
      </w:r>
      <w:r>
        <w:rPr>
          <w:spacing w:val="-74"/>
        </w:rPr>
        <w:t xml:space="preserve"> </w:t>
      </w:r>
      <w:r>
        <w:rPr>
          <w:spacing w:val="7"/>
        </w:rPr>
        <w:t>习近平生态文明思想、</w:t>
      </w:r>
      <w:r>
        <w:rPr>
          <w:spacing w:val="-90"/>
        </w:rPr>
        <w:t xml:space="preserve"> </w:t>
      </w:r>
      <w:r>
        <w:rPr>
          <w:spacing w:val="7"/>
        </w:rPr>
        <w:t>习近平外交思想、</w:t>
      </w:r>
      <w:r>
        <w:t xml:space="preserve"> </w:t>
      </w:r>
      <w:r>
        <w:rPr>
          <w:spacing w:val="10"/>
        </w:rPr>
        <w:t>习近平法治思想、</w:t>
      </w:r>
      <w:r>
        <w:rPr>
          <w:spacing w:val="-87"/>
        </w:rPr>
        <w:t xml:space="preserve"> </w:t>
      </w:r>
      <w:r>
        <w:rPr>
          <w:spacing w:val="10"/>
        </w:rPr>
        <w:t>习近平文化思想，开展理论研究阐释，不</w:t>
      </w:r>
      <w:r>
        <w:t xml:space="preserve"> </w:t>
      </w:r>
      <w:r>
        <w:rPr>
          <w:spacing w:val="5"/>
        </w:rPr>
        <w:t>断开辟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21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5"/>
        </w:rPr>
        <w:t>世纪马克思主义研究新境界，不断提高用党的创新</w:t>
      </w:r>
      <w:r>
        <w:t xml:space="preserve"> </w:t>
      </w:r>
      <w:r>
        <w:rPr>
          <w:spacing w:val="8"/>
        </w:rPr>
        <w:t>理论分析和解决问题的能力。</w:t>
      </w:r>
    </w:p>
    <w:p w14:paraId="165FC798">
      <w:pPr>
        <w:spacing w:before="57" w:line="226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二、优秀传统文化创造性发展和创新性发展</w:t>
      </w:r>
    </w:p>
    <w:p w14:paraId="41D6B404">
      <w:pPr>
        <w:pStyle w:val="2"/>
        <w:spacing w:before="218" w:line="351" w:lineRule="auto"/>
        <w:ind w:left="6" w:right="85" w:firstLine="640"/>
      </w:pPr>
      <w:r>
        <w:rPr>
          <w:spacing w:val="12"/>
        </w:rPr>
        <w:t>深入推动中华优秀传统文化创造性转化、创新性发展，</w:t>
      </w:r>
      <w:r>
        <w:rPr>
          <w:spacing w:val="13"/>
        </w:rPr>
        <w:t xml:space="preserve"> </w:t>
      </w:r>
      <w:r>
        <w:rPr>
          <w:spacing w:val="12"/>
        </w:rPr>
        <w:t>挖掘泰山文化、大汶口文化、黄河文化、运河文化、红色文</w:t>
      </w:r>
      <w:r>
        <w:rPr>
          <w:spacing w:val="10"/>
        </w:rPr>
        <w:t xml:space="preserve"> </w:t>
      </w:r>
      <w:r>
        <w:rPr>
          <w:spacing w:val="12"/>
        </w:rPr>
        <w:t>化等优秀传统文化蕴含的深刻内涵和时代价值；深化文旅融</w:t>
      </w:r>
      <w:r>
        <w:rPr>
          <w:spacing w:val="10"/>
        </w:rPr>
        <w:t xml:space="preserve"> </w:t>
      </w:r>
      <w:r>
        <w:rPr>
          <w:spacing w:val="13"/>
        </w:rPr>
        <w:t>合，围绕</w:t>
      </w:r>
      <w:r>
        <w:rPr>
          <w:rFonts w:ascii="Times New Roman" w:hAnsi="Times New Roman" w:eastAsia="Times New Roman" w:cs="Times New Roman"/>
          <w:spacing w:val="13"/>
        </w:rPr>
        <w:t>“</w:t>
      </w:r>
      <w:r>
        <w:rPr>
          <w:spacing w:val="13"/>
        </w:rPr>
        <w:t>国泰民安</w:t>
      </w:r>
      <w:r>
        <w:rPr>
          <w:rFonts w:ascii="Times New Roman" w:hAnsi="Times New Roman" w:eastAsia="Times New Roman" w:cs="Times New Roman"/>
          <w:spacing w:val="13"/>
        </w:rPr>
        <w:t>”</w:t>
      </w:r>
      <w:r>
        <w:rPr>
          <w:spacing w:val="13"/>
        </w:rPr>
        <w:t>城市文化名片，开展研究阐释，增强城</w:t>
      </w:r>
      <w:r>
        <w:rPr>
          <w:spacing w:val="3"/>
        </w:rPr>
        <w:t xml:space="preserve"> </w:t>
      </w:r>
      <w:r>
        <w:rPr>
          <w:spacing w:val="8"/>
        </w:rPr>
        <w:t>市文化底蕴，赋能经济社会高质量发展等。</w:t>
      </w:r>
    </w:p>
    <w:p w14:paraId="72F8FD7F">
      <w:pPr>
        <w:spacing w:before="56" w:line="226" w:lineRule="auto"/>
        <w:ind w:left="58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三、年度课题</w:t>
      </w:r>
    </w:p>
    <w:p w14:paraId="2D0FCCB1">
      <w:pPr>
        <w:pStyle w:val="2"/>
        <w:spacing w:before="224" w:line="350" w:lineRule="auto"/>
        <w:ind w:left="2" w:right="3" w:firstLine="630"/>
      </w:pPr>
      <w:r>
        <w:rPr>
          <w:rFonts w:ascii="KaiTi_GB2312" w:hAnsi="KaiTi_GB2312" w:eastAsia="KaiTi_GB2312" w:cs="KaiTi_GB2312"/>
          <w:spacing w:val="4"/>
        </w:rPr>
        <w:t>（一）新型工业化强市建设。</w:t>
      </w:r>
      <w:r>
        <w:rPr>
          <w:spacing w:val="4"/>
        </w:rPr>
        <w:t>聚焦构建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五大发展生态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，</w:t>
      </w:r>
      <w:r>
        <w:rPr>
          <w:spacing w:val="18"/>
        </w:rPr>
        <w:t xml:space="preserve"> </w:t>
      </w:r>
      <w:r>
        <w:rPr>
          <w:spacing w:val="12"/>
        </w:rPr>
        <w:t>加快形成新质生产力，围绕改造提升传统产业、培育壮大新</w:t>
      </w:r>
      <w:r>
        <w:rPr>
          <w:spacing w:val="14"/>
        </w:rPr>
        <w:t xml:space="preserve"> </w:t>
      </w:r>
      <w:r>
        <w:rPr>
          <w:spacing w:val="12"/>
        </w:rPr>
        <w:t>兴产业、超前布局未来产业、推进项目谋划建设、加快数转</w:t>
      </w:r>
      <w:r>
        <w:rPr>
          <w:spacing w:val="14"/>
        </w:rPr>
        <w:t xml:space="preserve"> </w:t>
      </w:r>
      <w:r>
        <w:rPr>
          <w:spacing w:val="12"/>
        </w:rPr>
        <w:t>智改、科技创新赋能等，在培育中小企业特色产业集群、培</w:t>
      </w:r>
      <w:r>
        <w:rPr>
          <w:spacing w:val="14"/>
        </w:rPr>
        <w:t xml:space="preserve"> </w:t>
      </w:r>
      <w:r>
        <w:t>育雁阵形产业集群、产业园区提升和高效发展、未来产业（合</w:t>
      </w:r>
    </w:p>
    <w:p w14:paraId="78A86E08">
      <w:pPr>
        <w:spacing w:line="350" w:lineRule="auto"/>
        <w:sectPr>
          <w:footerReference r:id="rId5" w:type="default"/>
          <w:pgSz w:w="11906" w:h="16839"/>
          <w:pgMar w:top="1431" w:right="1719" w:bottom="1141" w:left="1711" w:header="0" w:footer="928" w:gutter="0"/>
          <w:pgNumType w:fmt="decimal"/>
          <w:cols w:space="720" w:num="1"/>
        </w:sectPr>
      </w:pPr>
    </w:p>
    <w:p w14:paraId="014101D9">
      <w:pPr>
        <w:spacing w:line="375" w:lineRule="auto"/>
        <w:rPr>
          <w:rFonts w:ascii="Arial"/>
          <w:sz w:val="21"/>
        </w:rPr>
      </w:pPr>
    </w:p>
    <w:p w14:paraId="28FDD4F3">
      <w:pPr>
        <w:pStyle w:val="2"/>
        <w:spacing w:before="101" w:line="349" w:lineRule="auto"/>
        <w:ind w:left="5" w:firstLine="7"/>
      </w:pPr>
      <w:r>
        <w:rPr>
          <w:spacing w:val="12"/>
        </w:rPr>
        <w:t>成生物、人工智能、商品航天、低空经济、未来健康等）布</w:t>
      </w:r>
      <w:r>
        <w:rPr>
          <w:spacing w:val="6"/>
        </w:rPr>
        <w:t xml:space="preserve"> </w:t>
      </w:r>
      <w:r>
        <w:rPr>
          <w:spacing w:val="13"/>
        </w:rPr>
        <w:t>局、未来产业与城市深度融合、未来产业与消费深度融合、</w:t>
      </w:r>
      <w:r>
        <w:rPr>
          <w:spacing w:val="17"/>
        </w:rPr>
        <w:t xml:space="preserve"> </w:t>
      </w:r>
      <w:r>
        <w:rPr>
          <w:spacing w:val="4"/>
        </w:rPr>
        <w:t>盘活闲置资源、数实融合、数智赋能、工业互联网应用赋能、</w:t>
      </w:r>
      <w:r>
        <w:rPr>
          <w:spacing w:val="3"/>
        </w:rPr>
        <w:t xml:space="preserve"> </w:t>
      </w:r>
      <w:r>
        <w:rPr>
          <w:spacing w:val="9"/>
        </w:rPr>
        <w:t>推动产学研深度融合等开展前瞻性、应用性研</w:t>
      </w:r>
      <w:r>
        <w:rPr>
          <w:spacing w:val="8"/>
        </w:rPr>
        <w:t>究。</w:t>
      </w:r>
    </w:p>
    <w:p w14:paraId="04048A34">
      <w:pPr>
        <w:pStyle w:val="2"/>
        <w:spacing w:before="58" w:line="334" w:lineRule="auto"/>
        <w:ind w:left="1" w:right="13" w:firstLine="634"/>
      </w:pPr>
      <w:r>
        <w:rPr>
          <w:rFonts w:ascii="KaiTi_GB2312" w:hAnsi="KaiTi_GB2312" w:eastAsia="KaiTi_GB2312" w:cs="KaiTi_GB2312"/>
          <w:spacing w:val="13"/>
        </w:rPr>
        <w:t>（二）发展现代服务业。</w:t>
      </w:r>
      <w:r>
        <w:rPr>
          <w:spacing w:val="13"/>
        </w:rPr>
        <w:t>聚焦推动现代服务业升级提档</w:t>
      </w:r>
      <w:r>
        <w:rPr>
          <w:spacing w:val="3"/>
        </w:rPr>
        <w:t xml:space="preserve"> </w:t>
      </w:r>
      <w:r>
        <w:rPr>
          <w:spacing w:val="4"/>
        </w:rPr>
        <w:t>增效，围绕促进消费、拓展产业发展业态、提</w:t>
      </w:r>
      <w:r>
        <w:rPr>
          <w:spacing w:val="3"/>
        </w:rPr>
        <w:t>升服务水平等，</w:t>
      </w:r>
      <w:r>
        <w:t xml:space="preserve"> </w:t>
      </w:r>
      <w:r>
        <w:rPr>
          <w:spacing w:val="12"/>
        </w:rPr>
        <w:t>在培育银发经济、冰雪经济、节会经济、会展经济、潮玩经</w:t>
      </w:r>
      <w:r>
        <w:rPr>
          <w:spacing w:val="18"/>
        </w:rPr>
        <w:t xml:space="preserve"> </w:t>
      </w:r>
      <w:r>
        <w:rPr>
          <w:spacing w:val="12"/>
        </w:rPr>
        <w:t>济、网红经济新业态，发展即时零售、直播电商新模式，发</w:t>
      </w:r>
      <w:r>
        <w:rPr>
          <w:spacing w:val="18"/>
        </w:rPr>
        <w:t xml:space="preserve"> </w:t>
      </w:r>
      <w:r>
        <w:rPr>
          <w:spacing w:val="12"/>
        </w:rPr>
        <w:t>展咨询评估、人力资源、法律服务、检测检验、教育培训等</w:t>
      </w:r>
      <w:r>
        <w:rPr>
          <w:spacing w:val="18"/>
        </w:rPr>
        <w:t xml:space="preserve"> </w:t>
      </w:r>
      <w:r>
        <w:rPr>
          <w:spacing w:val="6"/>
        </w:rPr>
        <w:t>商务服务，</w:t>
      </w:r>
      <w:r>
        <w:rPr>
          <w:spacing w:val="-81"/>
        </w:rPr>
        <w:t xml:space="preserve"> </w:t>
      </w:r>
      <w:r>
        <w:rPr>
          <w:spacing w:val="6"/>
        </w:rPr>
        <w:t>以及现代物流业降本增效等方面开展研究。</w:t>
      </w:r>
    </w:p>
    <w:p w14:paraId="2DFF339B">
      <w:pPr>
        <w:pStyle w:val="2"/>
        <w:spacing w:before="234" w:line="334" w:lineRule="auto"/>
        <w:ind w:left="1" w:right="95" w:firstLine="634"/>
      </w:pPr>
      <w:r>
        <w:rPr>
          <w:rFonts w:ascii="KaiTi_GB2312" w:hAnsi="KaiTi_GB2312" w:eastAsia="KaiTi_GB2312" w:cs="KaiTi_GB2312"/>
          <w:spacing w:val="13"/>
        </w:rPr>
        <w:t>（三）落实黄河国家战略。</w:t>
      </w:r>
      <w:r>
        <w:rPr>
          <w:spacing w:val="13"/>
        </w:rPr>
        <w:t>聚焦加快建设黄河流域生态</w:t>
      </w:r>
      <w:r>
        <w:rPr>
          <w:spacing w:val="3"/>
        </w:rPr>
        <w:t xml:space="preserve"> </w:t>
      </w:r>
      <w:r>
        <w:rPr>
          <w:spacing w:val="12"/>
        </w:rPr>
        <w:t>保护和高质量发展先行区，围绕绿水低碳发展、生态保护治</w:t>
      </w:r>
      <w:r>
        <w:rPr>
          <w:spacing w:val="18"/>
        </w:rPr>
        <w:t xml:space="preserve"> </w:t>
      </w:r>
      <w:r>
        <w:rPr>
          <w:spacing w:val="12"/>
        </w:rPr>
        <w:t>理、提升防灾减灾能力等，在建设节水型社会、建设无废城</w:t>
      </w:r>
      <w:r>
        <w:rPr>
          <w:spacing w:val="18"/>
        </w:rPr>
        <w:t xml:space="preserve"> </w:t>
      </w:r>
      <w:r>
        <w:rPr>
          <w:spacing w:val="12"/>
        </w:rPr>
        <w:t>市、构建绿色制造体系、大气环境质量提升、推动美丽河湖</w:t>
      </w:r>
      <w:r>
        <w:rPr>
          <w:spacing w:val="18"/>
        </w:rPr>
        <w:t xml:space="preserve"> </w:t>
      </w:r>
      <w:r>
        <w:rPr>
          <w:spacing w:val="12"/>
        </w:rPr>
        <w:t>保护与建设、推进泰山区域水土流失系统治理、构建现代化</w:t>
      </w:r>
      <w:r>
        <w:rPr>
          <w:spacing w:val="18"/>
        </w:rPr>
        <w:t xml:space="preserve"> </w:t>
      </w:r>
      <w:r>
        <w:rPr>
          <w:spacing w:val="9"/>
        </w:rPr>
        <w:t>雨水预报体系、加强海绵城市建设等方面开展研究。</w:t>
      </w:r>
    </w:p>
    <w:p w14:paraId="1A33D333">
      <w:pPr>
        <w:pStyle w:val="2"/>
        <w:spacing w:before="234" w:line="334" w:lineRule="auto"/>
        <w:ind w:firstLine="477"/>
      </w:pPr>
      <w:r>
        <w:rPr>
          <w:rFonts w:ascii="KaiTi_GB2312" w:hAnsi="KaiTi_GB2312" w:eastAsia="KaiTi_GB2312" w:cs="KaiTi_GB2312"/>
          <w:spacing w:val="6"/>
        </w:rPr>
        <w:t>（四）推进乡村全面振兴。</w:t>
      </w:r>
      <w:r>
        <w:rPr>
          <w:spacing w:val="6"/>
        </w:rPr>
        <w:t>聚焦推动农业增效益、农村增</w:t>
      </w:r>
      <w:r>
        <w:rPr>
          <w:spacing w:val="14"/>
        </w:rPr>
        <w:t xml:space="preserve"> </w:t>
      </w:r>
      <w:r>
        <w:rPr>
          <w:spacing w:val="13"/>
        </w:rPr>
        <w:t>活力、农民增收入，围绕抗牢粮食安全责任</w:t>
      </w:r>
      <w:r>
        <w:rPr>
          <w:spacing w:val="12"/>
        </w:rPr>
        <w:t>、做大做强特色</w:t>
      </w:r>
      <w:r>
        <w:t xml:space="preserve"> </w:t>
      </w:r>
      <w:r>
        <w:rPr>
          <w:spacing w:val="-3"/>
        </w:rPr>
        <w:t>产业、扎实推进乡村建设，在遏制耕地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spacing w:val="-3"/>
        </w:rPr>
        <w:t>非农化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spacing w:val="-3"/>
        </w:rPr>
        <w:t>、防控耕地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spacing w:val="-3"/>
        </w:rPr>
        <w:t>非</w:t>
      </w:r>
      <w:r>
        <w:rPr>
          <w:spacing w:val="5"/>
        </w:rPr>
        <w:t xml:space="preserve"> </w:t>
      </w:r>
      <w:r>
        <w:rPr>
          <w:spacing w:val="-1"/>
        </w:rPr>
        <w:t>粮化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spacing w:val="-1"/>
        </w:rPr>
        <w:t>、推进农业社会化托管服务、保障重要农产品生产供应、</w:t>
      </w:r>
      <w:r>
        <w:rPr>
          <w:spacing w:val="7"/>
        </w:rPr>
        <w:t xml:space="preserve"> </w:t>
      </w:r>
      <w:r>
        <w:rPr>
          <w:spacing w:val="13"/>
        </w:rPr>
        <w:t>推进工业化思维抓农业、打造农业产业集群</w:t>
      </w:r>
      <w:r>
        <w:rPr>
          <w:spacing w:val="12"/>
        </w:rPr>
        <w:t>、建设农产品小</w:t>
      </w:r>
      <w:r>
        <w:t xml:space="preserve"> </w:t>
      </w:r>
      <w:r>
        <w:rPr>
          <w:spacing w:val="13"/>
        </w:rPr>
        <w:t>微特色产业园、加强农业企业梯次培育、构建</w:t>
      </w:r>
      <w:r>
        <w:rPr>
          <w:rFonts w:ascii="Times New Roman" w:hAnsi="Times New Roman" w:eastAsia="Times New Roman" w:cs="Times New Roman"/>
          <w:spacing w:val="13"/>
        </w:rPr>
        <w:t>“</w:t>
      </w:r>
      <w:r>
        <w:rPr>
          <w:spacing w:val="13"/>
        </w:rPr>
        <w:t>泰好吃</w:t>
      </w:r>
      <w:r>
        <w:rPr>
          <w:rFonts w:ascii="Times New Roman" w:hAnsi="Times New Roman" w:eastAsia="Times New Roman" w:cs="Times New Roman"/>
          <w:spacing w:val="13"/>
        </w:rPr>
        <w:t>”</w:t>
      </w:r>
      <w:r>
        <w:rPr>
          <w:spacing w:val="13"/>
        </w:rPr>
        <w:t>营销</w:t>
      </w:r>
    </w:p>
    <w:p w14:paraId="570E780B">
      <w:pPr>
        <w:spacing w:line="334" w:lineRule="auto"/>
        <w:sectPr>
          <w:footerReference r:id="rId6" w:type="default"/>
          <w:pgSz w:w="11906" w:h="16839"/>
          <w:pgMar w:top="1431" w:right="1709" w:bottom="1144" w:left="1708" w:header="0" w:footer="928" w:gutter="0"/>
          <w:pgNumType w:fmt="decimal"/>
          <w:cols w:space="720" w:num="1"/>
        </w:sectPr>
      </w:pPr>
    </w:p>
    <w:p w14:paraId="532856E7">
      <w:pPr>
        <w:spacing w:line="374" w:lineRule="auto"/>
        <w:rPr>
          <w:rFonts w:ascii="Arial"/>
          <w:sz w:val="21"/>
        </w:rPr>
      </w:pPr>
    </w:p>
    <w:p w14:paraId="317E8E3E">
      <w:pPr>
        <w:pStyle w:val="2"/>
        <w:spacing w:before="101" w:line="341" w:lineRule="auto"/>
        <w:ind w:left="6" w:right="95" w:hanging="7"/>
      </w:pPr>
      <w:r>
        <w:rPr>
          <w:spacing w:val="13"/>
        </w:rPr>
        <w:t>体系、农村人居环境提升、农村公共服务水平提</w:t>
      </w:r>
      <w:r>
        <w:rPr>
          <w:spacing w:val="12"/>
        </w:rPr>
        <w:t>升、加强农</w:t>
      </w:r>
      <w:r>
        <w:t xml:space="preserve"> </w:t>
      </w:r>
      <w:r>
        <w:rPr>
          <w:spacing w:val="8"/>
        </w:rPr>
        <w:t>村新时代精神文明建设等方面开展研究。</w:t>
      </w:r>
    </w:p>
    <w:p w14:paraId="3F789FFD">
      <w:pPr>
        <w:pStyle w:val="2"/>
        <w:spacing w:before="60" w:line="352" w:lineRule="auto"/>
        <w:ind w:left="4" w:right="95" w:firstLine="633"/>
      </w:pPr>
      <w:r>
        <w:rPr>
          <w:rFonts w:ascii="KaiTi_GB2312" w:hAnsi="KaiTi_GB2312" w:eastAsia="KaiTi_GB2312" w:cs="KaiTi_GB2312"/>
          <w:spacing w:val="13"/>
        </w:rPr>
        <w:t>（五）全面深化改革开放。</w:t>
      </w:r>
      <w:r>
        <w:rPr>
          <w:spacing w:val="13"/>
        </w:rPr>
        <w:t>聚焦深化重点领域改革、推</w:t>
      </w:r>
      <w:r>
        <w:rPr>
          <w:spacing w:val="3"/>
        </w:rPr>
        <w:t xml:space="preserve"> </w:t>
      </w:r>
      <w:r>
        <w:rPr>
          <w:spacing w:val="12"/>
        </w:rPr>
        <w:t>进高水平对外开放、持续增创区域竞争新优势，围绕深化重</w:t>
      </w:r>
      <w:r>
        <w:rPr>
          <w:spacing w:val="16"/>
        </w:rPr>
        <w:t xml:space="preserve"> </w:t>
      </w:r>
      <w:r>
        <w:rPr>
          <w:spacing w:val="12"/>
        </w:rPr>
        <w:t>点领域改革、扩大对外开放、打造一流营商环境，在推进财</w:t>
      </w:r>
      <w:r>
        <w:rPr>
          <w:spacing w:val="16"/>
        </w:rPr>
        <w:t xml:space="preserve"> </w:t>
      </w:r>
      <w:r>
        <w:rPr>
          <w:spacing w:val="15"/>
        </w:rPr>
        <w:t>税金融、国有企业、农村集体林权等改革，</w:t>
      </w:r>
      <w:r>
        <w:rPr>
          <w:rFonts w:ascii="Times New Roman" w:hAnsi="Times New Roman" w:eastAsia="Times New Roman" w:cs="Times New Roman"/>
          <w:spacing w:val="15"/>
        </w:rPr>
        <w:t>“</w:t>
      </w:r>
      <w:r>
        <w:rPr>
          <w:spacing w:val="14"/>
        </w:rPr>
        <w:t>泰山好品</w:t>
      </w:r>
      <w:r>
        <w:rPr>
          <w:rFonts w:ascii="Times New Roman" w:hAnsi="Times New Roman" w:eastAsia="Times New Roman" w:cs="Times New Roman"/>
          <w:spacing w:val="14"/>
        </w:rPr>
        <w:t>·</w:t>
      </w:r>
      <w:r>
        <w:rPr>
          <w:spacing w:val="14"/>
        </w:rPr>
        <w:t>贸通</w:t>
      </w:r>
      <w:r>
        <w:t xml:space="preserve"> </w:t>
      </w:r>
      <w:r>
        <w:rPr>
          <w:spacing w:val="11"/>
        </w:rPr>
        <w:t>全球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spacing w:val="11"/>
        </w:rPr>
        <w:t>品牌建设，培育外贸经营主体、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spacing w:val="11"/>
        </w:rPr>
        <w:t>产业带</w:t>
      </w:r>
      <w:r>
        <w:rPr>
          <w:rFonts w:ascii="Times New Roman" w:hAnsi="Times New Roman" w:eastAsia="Times New Roman" w:cs="Times New Roman"/>
          <w:spacing w:val="11"/>
        </w:rPr>
        <w:t>+</w:t>
      </w:r>
      <w:r>
        <w:rPr>
          <w:spacing w:val="11"/>
        </w:rPr>
        <w:t>跨境电商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11"/>
        </w:rPr>
        <w:t>，</w:t>
      </w:r>
      <w:r>
        <w:t xml:space="preserve"> </w:t>
      </w:r>
      <w:r>
        <w:rPr>
          <w:spacing w:val="12"/>
        </w:rPr>
        <w:t>发展服务贸易、绿色贸易、数字贸易，优化政务服务、擦亮</w:t>
      </w:r>
      <w:r>
        <w:rPr>
          <w:spacing w:val="14"/>
        </w:rPr>
        <w:t xml:space="preserve"> </w:t>
      </w:r>
      <w:r>
        <w:rPr>
          <w:spacing w:val="7"/>
        </w:rPr>
        <w:t>“泰好办”</w:t>
      </w:r>
      <w:r>
        <w:rPr>
          <w:spacing w:val="-102"/>
        </w:rPr>
        <w:t xml:space="preserve"> </w:t>
      </w:r>
      <w:r>
        <w:rPr>
          <w:spacing w:val="7"/>
        </w:rPr>
        <w:t>品牌、支持民营经济发展等方面开</w:t>
      </w:r>
      <w:r>
        <w:rPr>
          <w:spacing w:val="6"/>
        </w:rPr>
        <w:t>展研究。</w:t>
      </w:r>
    </w:p>
    <w:p w14:paraId="189C4F1A">
      <w:pPr>
        <w:pStyle w:val="2"/>
        <w:spacing w:before="54" w:line="330" w:lineRule="auto"/>
        <w:ind w:left="8" w:firstLine="629"/>
      </w:pPr>
      <w:r>
        <w:rPr>
          <w:rFonts w:ascii="KaiTi_GB2312" w:hAnsi="KaiTi_GB2312" w:eastAsia="KaiTi_GB2312" w:cs="KaiTi_GB2312"/>
          <w:spacing w:val="13"/>
        </w:rPr>
        <w:t>（六）统筹区域协调发展。</w:t>
      </w:r>
      <w:r>
        <w:rPr>
          <w:spacing w:val="13"/>
        </w:rPr>
        <w:t>聚焦系统推进城镇化建设管</w:t>
      </w:r>
      <w:r>
        <w:rPr>
          <w:spacing w:val="3"/>
        </w:rPr>
        <w:t xml:space="preserve"> </w:t>
      </w:r>
      <w:r>
        <w:rPr>
          <w:spacing w:val="12"/>
        </w:rPr>
        <w:t>理，构建城镇化发展新格局，围绕推进新型城镇化、加强基</w:t>
      </w:r>
      <w:r>
        <w:rPr>
          <w:spacing w:val="13"/>
        </w:rPr>
        <w:t xml:space="preserve"> </w:t>
      </w:r>
      <w:r>
        <w:rPr>
          <w:spacing w:val="4"/>
        </w:rPr>
        <w:t>础设施建设、促进房地产市场回稳，在深度融入济南都市圈、</w:t>
      </w:r>
      <w:r>
        <w:rPr>
          <w:spacing w:val="2"/>
        </w:rPr>
        <w:t xml:space="preserve"> </w:t>
      </w:r>
      <w:r>
        <w:rPr>
          <w:spacing w:val="12"/>
        </w:rPr>
        <w:t>济泰同城化、钢城新泰一体化，农村转移人口市民化，城乡</w:t>
      </w:r>
      <w:r>
        <w:rPr>
          <w:spacing w:val="13"/>
        </w:rPr>
        <w:t xml:space="preserve"> </w:t>
      </w:r>
      <w:r>
        <w:rPr>
          <w:spacing w:val="9"/>
        </w:rPr>
        <w:t>要素平等交换，新型智慧城市建设等方面开展</w:t>
      </w:r>
      <w:r>
        <w:rPr>
          <w:spacing w:val="8"/>
        </w:rPr>
        <w:t>研究。</w:t>
      </w:r>
    </w:p>
    <w:p w14:paraId="546AF566">
      <w:pPr>
        <w:pStyle w:val="2"/>
        <w:spacing w:before="233" w:line="311" w:lineRule="auto"/>
        <w:ind w:left="7" w:right="95" w:firstLine="630"/>
      </w:pPr>
      <w:r>
        <w:rPr>
          <w:rFonts w:ascii="KaiTi_GB2312" w:hAnsi="KaiTi_GB2312" w:eastAsia="KaiTi_GB2312" w:cs="KaiTi_GB2312"/>
          <w:spacing w:val="13"/>
        </w:rPr>
        <w:t>（七）共同富裕。</w:t>
      </w:r>
      <w:r>
        <w:rPr>
          <w:spacing w:val="13"/>
        </w:rPr>
        <w:t>聚焦解决人民群众急难愁盼问题，让</w:t>
      </w:r>
      <w:r>
        <w:rPr>
          <w:spacing w:val="3"/>
        </w:rPr>
        <w:t xml:space="preserve"> </w:t>
      </w:r>
      <w:r>
        <w:rPr>
          <w:spacing w:val="12"/>
        </w:rPr>
        <w:t>发展成果惠及全市人民，围绕落实就业优先战略、抓好社会</w:t>
      </w:r>
      <w:r>
        <w:rPr>
          <w:spacing w:val="14"/>
        </w:rPr>
        <w:t xml:space="preserve"> </w:t>
      </w:r>
      <w:r>
        <w:rPr>
          <w:spacing w:val="8"/>
        </w:rPr>
        <w:t>事业、加强社会治理等方面。</w:t>
      </w:r>
    </w:p>
    <w:sectPr>
      <w:footerReference r:id="rId7" w:type="default"/>
      <w:pgSz w:w="11906" w:h="16839"/>
      <w:pgMar w:top="1431" w:right="1709" w:bottom="1141" w:left="1706" w:header="0" w:footer="92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8564A">
    <w:pPr>
      <w:spacing w:line="176" w:lineRule="auto"/>
      <w:jc w:val="right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19"/>
        <w:sz w:val="18"/>
        <w:szCs w:val="1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9D3C4">
    <w:pPr>
      <w:spacing w:line="179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5"/>
        <w:w w:val="95"/>
        <w:sz w:val="18"/>
        <w:szCs w:val="18"/>
      </w:rPr>
      <w:t>—</w:t>
    </w:r>
    <w:r>
      <w:rPr>
        <w:rFonts w:ascii="Arial" w:hAnsi="Arial" w:eastAsia="Arial" w:cs="Arial"/>
        <w:spacing w:val="4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w w:val="95"/>
        <w:sz w:val="24"/>
        <w:szCs w:val="24"/>
      </w:rPr>
      <w:t>6</w:t>
    </w:r>
    <w:r>
      <w:rPr>
        <w:rFonts w:ascii="Times New Roman" w:hAnsi="Times New Roman" w:eastAsia="Times New Roman" w:cs="Times New Roman"/>
        <w:spacing w:val="7"/>
        <w:sz w:val="24"/>
        <w:szCs w:val="24"/>
      </w:rPr>
      <w:t xml:space="preserve"> </w:t>
    </w:r>
    <w:r>
      <w:rPr>
        <w:rFonts w:ascii="Arial" w:hAnsi="Arial" w:eastAsia="Arial" w:cs="Arial"/>
        <w:spacing w:val="-5"/>
        <w:w w:val="95"/>
        <w:sz w:val="18"/>
        <w:szCs w:val="1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C48A8">
    <w:pPr>
      <w:spacing w:line="176" w:lineRule="auto"/>
      <w:jc w:val="right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7"/>
        <w:w w:val="90"/>
        <w:sz w:val="18"/>
        <w:szCs w:val="18"/>
      </w:rPr>
      <w:t>—</w:t>
    </w:r>
    <w:r>
      <w:rPr>
        <w:rFonts w:ascii="Arial" w:hAnsi="Arial" w:eastAsia="Arial" w:cs="Arial"/>
        <w:spacing w:val="37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w w:val="90"/>
        <w:sz w:val="24"/>
        <w:szCs w:val="24"/>
      </w:rPr>
      <w:t>7</w:t>
    </w:r>
    <w:r>
      <w:rPr>
        <w:rFonts w:ascii="Times New Roman" w:hAnsi="Times New Roman" w:eastAsia="Times New Roman" w:cs="Times New Roman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1"/>
        <w:w w:val="90"/>
        <w:sz w:val="18"/>
        <w:szCs w:val="1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B680F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1427</Words>
  <Characters>1428</Characters>
  <TotalTime>36</TotalTime>
  <ScaleCrop>false</ScaleCrop>
  <LinksUpToDate>false</LinksUpToDate>
  <CharactersWithSpaces>1481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2025-04-17T11:13:00Z</dcterms:created>
  <dc:creator>kylin</dc:creator>
  <cp:lastModifiedBy>阿布</cp:lastModifiedBy>
  <dcterms:modified xsi:type="dcterms:W3CDTF">2025-04-18T03:49:36Z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2025-04-18T11:12:42Z</vt:filetime>
  </property>
  <property fmtid="{D5CDD505-2E9C-101B-9397-08002B2CF9AE}" pid="4" name="KSOTemplateDocerSaveRecord">
    <vt:lpwstr>eyJoZGlkIjoiOTM0YzE0OTBjNmVjMWE0ZTJmZTkxOTFjNWQ5N2Y4YjMiLCJ1c2VySWQiOiIzNDg2ODUyMTcifQ==</vt:lpwstr>
  </property>
  <property fmtid="{D5CDD505-2E9C-101B-9397-08002B2CF9AE}" pid="5" name="KSOProductBuildVer">
    <vt:lpwstr>2052-12.1.0.20305</vt:lpwstr>
  </property>
  <property fmtid="{D5CDD505-2E9C-101B-9397-08002B2CF9AE}" pid="6" name="ICV">
    <vt:lpwstr>7E0BC61A4FA84785965F5C3366D110C7_12</vt:lpwstr>
  </property>
</Properties>
</file>